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56" w:rsidRDefault="00AE2256" w:rsidP="00CA4DA4">
      <w:pPr>
        <w:pStyle w:val="NoSpacing"/>
        <w:jc w:val="center"/>
        <w:rPr>
          <w:rFonts w:ascii="Times New Roman" w:hAnsi="Times New Roman" w:cs="Times New Roman"/>
          <w:color w:val="C00000"/>
          <w:sz w:val="36"/>
          <w:lang w:eastAsia="en-IN"/>
        </w:rPr>
      </w:pPr>
    </w:p>
    <w:p w:rsidR="001349AE" w:rsidRDefault="001349AE" w:rsidP="00F66E13">
      <w:pPr>
        <w:pStyle w:val="NoSpacing"/>
        <w:rPr>
          <w:rFonts w:ascii="Times New Roman" w:hAnsi="Times New Roman" w:cs="Times New Roman"/>
          <w:b/>
          <w:color w:val="0033CC"/>
          <w:sz w:val="36"/>
          <w:lang w:eastAsia="en-IN"/>
        </w:rPr>
      </w:pPr>
      <w:r w:rsidRPr="00F66E13">
        <w:rPr>
          <w:rFonts w:ascii="Times New Roman" w:hAnsi="Times New Roman" w:cs="Times New Roman"/>
          <w:noProof/>
          <w:color w:val="C00000"/>
          <w:sz w:val="32"/>
          <w:lang w:val="en-IN" w:eastAsia="en-IN"/>
        </w:rPr>
        <w:drawing>
          <wp:anchor distT="0" distB="0" distL="114300" distR="114300" simplePos="0" relativeHeight="251659264" behindDoc="0" locked="0" layoutInCell="1" allowOverlap="1" wp14:anchorId="1D5053E1" wp14:editId="2DAEA300">
            <wp:simplePos x="0" y="0"/>
            <wp:positionH relativeFrom="margin">
              <wp:align>left</wp:align>
            </wp:positionH>
            <wp:positionV relativeFrom="margin">
              <wp:align>top</wp:align>
            </wp:positionV>
            <wp:extent cx="1066800" cy="1009650"/>
            <wp:effectExtent l="0" t="0" r="0" b="0"/>
            <wp:wrapSquare wrapText="bothSides"/>
            <wp:docPr id="1" name="Picture 1" descr="C:\NIFT\NIF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IFT\NIFT logo.png"/>
                    <pic:cNvPicPr>
                      <a:picLocks noChangeAspect="1" noChangeArrowheads="1"/>
                    </pic:cNvPicPr>
                  </pic:nvPicPr>
                  <pic:blipFill>
                    <a:blip r:embed="rId8" cstate="print"/>
                    <a:srcRect/>
                    <a:stretch>
                      <a:fillRect/>
                    </a:stretch>
                  </pic:blipFill>
                  <pic:spPr bwMode="auto">
                    <a:xfrm>
                      <a:off x="0" y="0"/>
                      <a:ext cx="1066800" cy="1009650"/>
                    </a:xfrm>
                    <a:prstGeom prst="rect">
                      <a:avLst/>
                    </a:prstGeom>
                    <a:noFill/>
                    <a:ln w="9525">
                      <a:noFill/>
                      <a:miter lim="800000"/>
                      <a:headEnd/>
                      <a:tailEnd/>
                    </a:ln>
                  </pic:spPr>
                </pic:pic>
              </a:graphicData>
            </a:graphic>
          </wp:anchor>
        </w:drawing>
      </w:r>
      <w:r w:rsidRPr="00F66E13">
        <w:rPr>
          <w:rFonts w:ascii="Times New Roman" w:hAnsi="Times New Roman" w:cs="Times New Roman"/>
          <w:b/>
          <w:color w:val="0033CC"/>
          <w:sz w:val="32"/>
          <w:lang w:eastAsia="en-IN"/>
        </w:rPr>
        <w:t>NATIONAL INSTITUTE OF FOREIGN TRADE</w:t>
      </w:r>
    </w:p>
    <w:p w:rsidR="00147420" w:rsidRPr="00AE2256" w:rsidRDefault="00147420" w:rsidP="00147420">
      <w:pPr>
        <w:pStyle w:val="NoSpacing"/>
        <w:jc w:val="center"/>
        <w:rPr>
          <w:rFonts w:ascii="Times New Roman" w:hAnsi="Times New Roman" w:cs="Times New Roman"/>
          <w:color w:val="0033CC"/>
          <w:sz w:val="36"/>
          <w:lang w:eastAsia="en-IN"/>
        </w:rPr>
      </w:pPr>
    </w:p>
    <w:p w:rsidR="00147420" w:rsidRDefault="00147420" w:rsidP="00147420">
      <w:pPr>
        <w:pStyle w:val="NoSpacing"/>
        <w:jc w:val="center"/>
        <w:rPr>
          <w:rFonts w:ascii="Times New Roman" w:hAnsi="Times New Roman" w:cs="Times New Roman"/>
          <w:color w:val="0033CC"/>
          <w:sz w:val="36"/>
          <w:lang w:eastAsia="en-IN"/>
        </w:rPr>
      </w:pPr>
      <w:r w:rsidRPr="00AE2256">
        <w:rPr>
          <w:rFonts w:ascii="Times New Roman" w:hAnsi="Times New Roman" w:cs="Times New Roman"/>
          <w:color w:val="0033CC"/>
          <w:sz w:val="36"/>
          <w:lang w:eastAsia="en-IN"/>
        </w:rPr>
        <w:t>SYLLABUS FOR</w:t>
      </w:r>
    </w:p>
    <w:p w:rsidR="00147420" w:rsidRPr="00147420" w:rsidRDefault="00147420" w:rsidP="00147420">
      <w:pPr>
        <w:pStyle w:val="NoSpacing"/>
        <w:ind w:left="-426" w:right="-606"/>
        <w:jc w:val="center"/>
        <w:rPr>
          <w:rFonts w:ascii="Times New Roman" w:hAnsi="Times New Roman" w:cs="Times New Roman"/>
          <w:color w:val="0033CC"/>
          <w:sz w:val="32"/>
          <w:lang w:eastAsia="en-IN"/>
        </w:rPr>
      </w:pPr>
      <w:r w:rsidRPr="00147420">
        <w:rPr>
          <w:rFonts w:ascii="Times New Roman" w:hAnsi="Times New Roman" w:cs="Times New Roman"/>
          <w:color w:val="0033CC"/>
          <w:sz w:val="32"/>
          <w:lang w:eastAsia="en-IN"/>
        </w:rPr>
        <w:t xml:space="preserve"> “ADVANCED CERTIFICATE IN SUPPLY CHAIN MANAGEMENT”</w:t>
      </w:r>
    </w:p>
    <w:p w:rsidR="00147420" w:rsidRPr="00147420" w:rsidRDefault="00147420" w:rsidP="00147420">
      <w:pPr>
        <w:pStyle w:val="NoSpacing"/>
        <w:jc w:val="center"/>
        <w:rPr>
          <w:rFonts w:ascii="Times New Roman" w:hAnsi="Times New Roman" w:cs="Times New Roman"/>
          <w:color w:val="0033CC"/>
          <w:sz w:val="32"/>
          <w:lang w:eastAsia="en-IN"/>
        </w:rPr>
      </w:pPr>
      <w:r w:rsidRPr="00147420">
        <w:rPr>
          <w:rFonts w:ascii="Times New Roman" w:hAnsi="Times New Roman" w:cs="Times New Roman"/>
          <w:color w:val="0033CC"/>
          <w:sz w:val="32"/>
          <w:lang w:eastAsia="en-IN"/>
        </w:rPr>
        <w:t>(SHIPPING &amp; LOGISTICS)</w:t>
      </w:r>
    </w:p>
    <w:p w:rsidR="00147420" w:rsidRDefault="00147420" w:rsidP="00147420">
      <w:pPr>
        <w:pStyle w:val="NoSpacing"/>
        <w:jc w:val="center"/>
        <w:rPr>
          <w:rFonts w:ascii="Times New Roman" w:hAnsi="Times New Roman" w:cs="Times New Roman"/>
          <w:color w:val="0033CC"/>
          <w:sz w:val="32"/>
          <w:lang w:eastAsia="en-IN"/>
        </w:rPr>
      </w:pPr>
      <w:r w:rsidRPr="00147420">
        <w:rPr>
          <w:rFonts w:ascii="Times New Roman" w:hAnsi="Times New Roman" w:cs="Times New Roman"/>
          <w:color w:val="0033CC"/>
          <w:sz w:val="32"/>
          <w:lang w:eastAsia="en-IN"/>
        </w:rPr>
        <w:t>(Recognised by IMC Chamber of Commerce &amp; Industry)</w:t>
      </w:r>
    </w:p>
    <w:p w:rsidR="00F66E13" w:rsidRPr="00F66E13" w:rsidRDefault="00F66E13" w:rsidP="00147420">
      <w:pPr>
        <w:pStyle w:val="NoSpacing"/>
        <w:jc w:val="center"/>
        <w:rPr>
          <w:rFonts w:ascii="Times New Roman" w:hAnsi="Times New Roman" w:cs="Times New Roman"/>
          <w:color w:val="0033CC"/>
          <w:sz w:val="18"/>
          <w:lang w:eastAsia="en-IN"/>
        </w:rPr>
      </w:pPr>
    </w:p>
    <w:tbl>
      <w:tblPr>
        <w:tblStyle w:val="TableGrid"/>
        <w:tblW w:w="0" w:type="auto"/>
        <w:tblLook w:val="04A0" w:firstRow="1" w:lastRow="0" w:firstColumn="1" w:lastColumn="0" w:noHBand="0" w:noVBand="1"/>
      </w:tblPr>
      <w:tblGrid>
        <w:gridCol w:w="4685"/>
        <w:gridCol w:w="4665"/>
      </w:tblGrid>
      <w:tr w:rsidR="00F66E13" w:rsidTr="00F66E13">
        <w:tc>
          <w:tcPr>
            <w:tcW w:w="4788" w:type="dxa"/>
          </w:tcPr>
          <w:p w:rsidR="00F66E13" w:rsidRPr="00F66E13" w:rsidRDefault="00F66E13" w:rsidP="00F66E13">
            <w:pPr>
              <w:pStyle w:val="NoSpacing"/>
              <w:jc w:val="center"/>
              <w:rPr>
                <w:rFonts w:ascii="Calisto MT" w:hAnsi="Calisto MT" w:cs="Times New Roman"/>
                <w:color w:val="663300"/>
                <w:sz w:val="32"/>
                <w:lang w:eastAsia="en-IN"/>
              </w:rPr>
            </w:pPr>
            <w:r w:rsidRPr="00147420">
              <w:rPr>
                <w:rFonts w:ascii="Calisto MT" w:hAnsi="Calisto MT" w:cs="Times New Roman"/>
                <w:color w:val="663300"/>
                <w:sz w:val="32"/>
                <w:lang w:eastAsia="en-IN"/>
              </w:rPr>
              <w:t>SUNDAY BATCHE ONLY</w:t>
            </w:r>
          </w:p>
        </w:tc>
        <w:tc>
          <w:tcPr>
            <w:tcW w:w="4788" w:type="dxa"/>
          </w:tcPr>
          <w:p w:rsidR="00F66E13" w:rsidRPr="00F66E13" w:rsidRDefault="00F66E13" w:rsidP="00F66E13">
            <w:pPr>
              <w:pStyle w:val="NoSpacing"/>
              <w:jc w:val="center"/>
              <w:rPr>
                <w:rFonts w:ascii="Calisto MT" w:hAnsi="Calisto MT" w:cs="Times New Roman"/>
                <w:color w:val="663300"/>
                <w:sz w:val="32"/>
                <w:lang w:eastAsia="en-IN"/>
              </w:rPr>
            </w:pPr>
            <w:r w:rsidRPr="00147420">
              <w:rPr>
                <w:rFonts w:ascii="Calisto MT" w:hAnsi="Calisto MT" w:cs="Times New Roman"/>
                <w:color w:val="663300"/>
                <w:sz w:val="32"/>
                <w:lang w:eastAsia="en-IN"/>
              </w:rPr>
              <w:t>TIME 10:00 AM TO 1:00 PM</w:t>
            </w:r>
          </w:p>
        </w:tc>
      </w:tr>
    </w:tbl>
    <w:p w:rsidR="00147420" w:rsidRPr="00F66E13" w:rsidRDefault="00147420" w:rsidP="00F66E13">
      <w:pPr>
        <w:pStyle w:val="NoSpacing"/>
        <w:rPr>
          <w:rFonts w:ascii="Times New Roman" w:hAnsi="Times New Roman" w:cs="Times New Roman"/>
          <w:color w:val="0033CC"/>
          <w:sz w:val="18"/>
          <w:lang w:eastAsia="en-IN"/>
        </w:rPr>
      </w:pPr>
    </w:p>
    <w:p w:rsidR="00147420" w:rsidRPr="00F66E13" w:rsidRDefault="00147420" w:rsidP="00147420">
      <w:pPr>
        <w:pStyle w:val="NoSpacing"/>
        <w:jc w:val="both"/>
        <w:rPr>
          <w:rFonts w:ascii="Times New Roman" w:hAnsi="Times New Roman" w:cs="Times New Roman"/>
          <w:sz w:val="24"/>
          <w:lang w:eastAsia="en-IN"/>
        </w:rPr>
      </w:pPr>
      <w:r w:rsidRPr="00F66E13">
        <w:rPr>
          <w:rFonts w:ascii="Times New Roman" w:hAnsi="Times New Roman" w:cs="Times New Roman"/>
          <w:b/>
          <w:sz w:val="28"/>
          <w:lang w:eastAsia="en-IN"/>
        </w:rPr>
        <w:t>About Course:</w:t>
      </w:r>
      <w:r w:rsidRPr="00F66E13">
        <w:rPr>
          <w:rFonts w:ascii="Times New Roman" w:hAnsi="Times New Roman" w:cs="Times New Roman"/>
          <w:sz w:val="28"/>
          <w:lang w:eastAsia="en-IN"/>
        </w:rPr>
        <w:t xml:space="preserve"> </w:t>
      </w:r>
      <w:r w:rsidRPr="00F66E13">
        <w:rPr>
          <w:rFonts w:ascii="Times New Roman" w:hAnsi="Times New Roman" w:cs="Times New Roman"/>
          <w:sz w:val="24"/>
          <w:lang w:eastAsia="en-IN"/>
        </w:rPr>
        <w:t>This course is developed to meet the need, designed to develop the skills of professionals, from all links of International Trade Supply Chain, like Traders, Third party logistics service providers (3PLSP), Transporters / Carriers, Multimodal Transport operators, Warehouse operator, Container Freight Station operator, Inland container Depot operator etc. It is also an ideal introduction to the International Trade supply chain for those who wants to job in Logistics Chain, want to start shipping Logistics business or who is in business.</w:t>
      </w:r>
    </w:p>
    <w:p w:rsidR="00147420" w:rsidRPr="00F66E13" w:rsidRDefault="00147420" w:rsidP="00147420">
      <w:pPr>
        <w:pStyle w:val="NoSpacing"/>
        <w:jc w:val="both"/>
        <w:rPr>
          <w:rFonts w:ascii="Times New Roman" w:hAnsi="Times New Roman" w:cs="Times New Roman"/>
          <w:sz w:val="24"/>
          <w:lang w:eastAsia="en-IN"/>
        </w:rPr>
      </w:pPr>
    </w:p>
    <w:p w:rsidR="00147420" w:rsidRPr="00F66E13" w:rsidRDefault="00147420" w:rsidP="00147420">
      <w:pPr>
        <w:pStyle w:val="NoSpacing"/>
        <w:jc w:val="both"/>
        <w:rPr>
          <w:rFonts w:ascii="Times New Roman" w:hAnsi="Times New Roman" w:cs="Times New Roman"/>
          <w:sz w:val="24"/>
          <w:lang w:eastAsia="en-IN"/>
        </w:rPr>
      </w:pPr>
      <w:r w:rsidRPr="00F66E13">
        <w:rPr>
          <w:rFonts w:ascii="Times New Roman" w:hAnsi="Times New Roman" w:cs="Times New Roman"/>
          <w:sz w:val="24"/>
          <w:lang w:eastAsia="en-IN"/>
        </w:rPr>
        <w:t xml:space="preserve">Advance Diploma in Supply Chain Management course offers a comprehensive overview to all links in International Trade Supply Chain, stretching participant`s mind with new ideas and insight Informative, challenging and focused, the course is suitable for all types of professionals in the field of International </w:t>
      </w:r>
    </w:p>
    <w:p w:rsidR="00147420" w:rsidRPr="00F66E13" w:rsidRDefault="00147420" w:rsidP="00147420">
      <w:pPr>
        <w:pStyle w:val="NoSpacing"/>
        <w:jc w:val="both"/>
        <w:rPr>
          <w:rFonts w:ascii="Times New Roman" w:hAnsi="Times New Roman" w:cs="Times New Roman"/>
          <w:sz w:val="24"/>
          <w:lang w:eastAsia="en-IN"/>
        </w:rPr>
      </w:pPr>
      <w:r w:rsidRPr="00F66E13">
        <w:rPr>
          <w:rFonts w:ascii="Times New Roman" w:hAnsi="Times New Roman" w:cs="Times New Roman"/>
          <w:sz w:val="24"/>
          <w:lang w:eastAsia="en-IN"/>
        </w:rPr>
        <w:t>trade, whatever their area of expertise. It is must for anyone who seeks to complement their career with a complete and detailed understanding of the International Trade Logistics world.</w:t>
      </w:r>
    </w:p>
    <w:p w:rsidR="00147420" w:rsidRPr="00F66E13" w:rsidRDefault="00147420" w:rsidP="00147420">
      <w:pPr>
        <w:pStyle w:val="NoSpacing"/>
        <w:jc w:val="both"/>
        <w:rPr>
          <w:rFonts w:ascii="Times New Roman" w:hAnsi="Times New Roman" w:cs="Times New Roman"/>
          <w:sz w:val="24"/>
          <w:lang w:eastAsia="en-IN"/>
        </w:rPr>
      </w:pPr>
    </w:p>
    <w:p w:rsidR="00147420" w:rsidRPr="00F66E13" w:rsidRDefault="00147420" w:rsidP="00147420">
      <w:pPr>
        <w:pStyle w:val="NoSpacing"/>
        <w:jc w:val="both"/>
        <w:rPr>
          <w:rFonts w:ascii="Times New Roman" w:hAnsi="Times New Roman" w:cs="Times New Roman"/>
          <w:sz w:val="24"/>
          <w:lang w:eastAsia="en-IN"/>
        </w:rPr>
      </w:pPr>
      <w:r w:rsidRPr="00F66E13">
        <w:rPr>
          <w:rFonts w:ascii="Times New Roman" w:hAnsi="Times New Roman" w:cs="Times New Roman"/>
          <w:sz w:val="24"/>
          <w:lang w:eastAsia="en-IN"/>
        </w:rPr>
        <w:t>Career success does not mean having to move up the corporate ladder. If someone is happy and motivated by working in certain area, at a certain level, the Supply Chain offerce that opportunity.</w:t>
      </w:r>
    </w:p>
    <w:p w:rsidR="00147420" w:rsidRPr="00F66E13" w:rsidRDefault="00147420" w:rsidP="00147420">
      <w:pPr>
        <w:pStyle w:val="NoSpacing"/>
        <w:jc w:val="both"/>
        <w:rPr>
          <w:rFonts w:ascii="Times New Roman" w:hAnsi="Times New Roman" w:cs="Times New Roman"/>
          <w:sz w:val="24"/>
          <w:lang w:eastAsia="en-IN"/>
        </w:rPr>
      </w:pPr>
    </w:p>
    <w:p w:rsidR="001D79CA" w:rsidRPr="00F66E13" w:rsidRDefault="00147420" w:rsidP="00147420">
      <w:pPr>
        <w:pStyle w:val="NoSpacing"/>
        <w:jc w:val="both"/>
        <w:rPr>
          <w:rFonts w:ascii="Times New Roman" w:hAnsi="Times New Roman" w:cs="Times New Roman"/>
          <w:sz w:val="24"/>
        </w:rPr>
      </w:pPr>
      <w:r w:rsidRPr="00F66E13">
        <w:rPr>
          <w:rFonts w:ascii="Times New Roman" w:hAnsi="Times New Roman" w:cs="Times New Roman"/>
          <w:sz w:val="24"/>
          <w:lang w:eastAsia="en-IN"/>
        </w:rPr>
        <w:t xml:space="preserve">Supply Chain Management (SCM) is the next big thing in the Indian industrial scenario. According to Management Experts there is lots of scope for Supply Chain Management (SCM), in India due to increasing uncertainty of supply network Globalisation of Businesses, proliferation of products variety and shortening of products life cycles. The employability/ business potential of students </w:t>
      </w:r>
      <w:r w:rsidR="00F66E13" w:rsidRPr="00F66E13">
        <w:rPr>
          <w:rFonts w:ascii="Times New Roman" w:hAnsi="Times New Roman" w:cs="Times New Roman"/>
          <w:sz w:val="24"/>
          <w:lang w:eastAsia="en-IN"/>
        </w:rPr>
        <w:t>is</w:t>
      </w:r>
      <w:r w:rsidRPr="00F66E13">
        <w:rPr>
          <w:rFonts w:ascii="Times New Roman" w:hAnsi="Times New Roman" w:cs="Times New Roman"/>
          <w:sz w:val="24"/>
          <w:lang w:eastAsia="en-IN"/>
        </w:rPr>
        <w:t xml:space="preserve"> very high in Supply Chain Management (SCM).</w:t>
      </w:r>
    </w:p>
    <w:p w:rsidR="00CA4DA4" w:rsidRDefault="00CA4DA4" w:rsidP="00CA4DA4">
      <w:pPr>
        <w:pStyle w:val="NoSpacing"/>
        <w:rPr>
          <w:rFonts w:ascii="Times New Roman" w:hAnsi="Times New Roman" w:cs="Times New Roman"/>
          <w:b/>
        </w:rPr>
      </w:pPr>
    </w:p>
    <w:p w:rsidR="00F66E13" w:rsidRPr="00F66E13" w:rsidRDefault="00F66E13" w:rsidP="00F66E13">
      <w:pPr>
        <w:rPr>
          <w:rFonts w:ascii="Times New Roman" w:hAnsi="Times New Roman" w:cs="Times New Roman"/>
          <w:sz w:val="28"/>
          <w:szCs w:val="21"/>
          <w:shd w:val="clear" w:color="auto" w:fill="FFFFFF"/>
        </w:rPr>
      </w:pPr>
      <w:r w:rsidRPr="00F66E13">
        <w:rPr>
          <w:rFonts w:ascii="Times New Roman" w:hAnsi="Times New Roman" w:cs="Times New Roman"/>
          <w:b/>
          <w:sz w:val="28"/>
          <w:szCs w:val="21"/>
          <w:u w:val="single"/>
          <w:shd w:val="clear" w:color="auto" w:fill="FFFFFF"/>
        </w:rPr>
        <w:t>Career in Supply Chain Management</w:t>
      </w:r>
      <w:r w:rsidRPr="00F66E13">
        <w:rPr>
          <w:rFonts w:ascii="Times New Roman" w:hAnsi="Times New Roman" w:cs="Times New Roman"/>
          <w:sz w:val="28"/>
          <w:szCs w:val="21"/>
          <w:shd w:val="clear" w:color="auto" w:fill="FFFFFF"/>
        </w:rPr>
        <w:t>:</w:t>
      </w:r>
    </w:p>
    <w:p w:rsidR="00F66E13" w:rsidRPr="00F66E13" w:rsidRDefault="00F66E13" w:rsidP="00F66E13">
      <w:pPr>
        <w:jc w:val="both"/>
        <w:rPr>
          <w:rFonts w:ascii="Times New Roman" w:hAnsi="Times New Roman" w:cs="Times New Roman"/>
          <w:sz w:val="24"/>
          <w:szCs w:val="21"/>
          <w:shd w:val="clear" w:color="auto" w:fill="FFFFFF"/>
        </w:rPr>
      </w:pPr>
      <w:r w:rsidRPr="00F66E13">
        <w:rPr>
          <w:rFonts w:ascii="Times New Roman" w:hAnsi="Times New Roman" w:cs="Times New Roman"/>
          <w:sz w:val="24"/>
          <w:szCs w:val="21"/>
          <w:shd w:val="clear" w:color="auto" w:fill="FFFFFF"/>
        </w:rPr>
        <w:t>Supply Chain Management (SCM) is the next big thing in the Indian Industrial scenario. According to Management Experts there is lot of scope for Supply Chain Management, in India due to increasing uncertainty of supply, network globalization of business, proliferation of product variety and shortening of product life cycles. The employability potential of students is very high in Supply Chain Management – SCM.</w:t>
      </w:r>
    </w:p>
    <w:p w:rsidR="00147420" w:rsidRPr="00147420" w:rsidRDefault="00147420" w:rsidP="00CA4DA4">
      <w:pPr>
        <w:pStyle w:val="NoSpacing"/>
        <w:rPr>
          <w:rFonts w:ascii="Times New Roman" w:hAnsi="Times New Roman" w:cs="Times New Roman"/>
          <w:b/>
        </w:rPr>
      </w:pPr>
    </w:p>
    <w:p w:rsidR="00FC0E70" w:rsidRDefault="00147420" w:rsidP="00147420">
      <w:pPr>
        <w:pStyle w:val="NoSpacing"/>
        <w:tabs>
          <w:tab w:val="left" w:pos="6555"/>
        </w:tabs>
        <w:rPr>
          <w:rFonts w:ascii="Times New Roman" w:hAnsi="Times New Roman" w:cs="Times New Roman"/>
          <w:b/>
          <w:sz w:val="28"/>
        </w:rPr>
      </w:pPr>
      <w:r>
        <w:rPr>
          <w:rFonts w:ascii="Times New Roman" w:hAnsi="Times New Roman" w:cs="Times New Roman"/>
          <w:b/>
          <w:sz w:val="28"/>
        </w:rPr>
        <w:tab/>
      </w:r>
    </w:p>
    <w:p w:rsidR="00147420" w:rsidRPr="00B73B83" w:rsidRDefault="00147420" w:rsidP="00147420">
      <w:pPr>
        <w:pStyle w:val="NoSpacing"/>
        <w:tabs>
          <w:tab w:val="left" w:pos="6555"/>
        </w:tabs>
        <w:rPr>
          <w:rFonts w:ascii="Times New Roman" w:hAnsi="Times New Roman" w:cs="Times New Roman"/>
          <w:b/>
          <w:sz w:val="28"/>
        </w:rPr>
      </w:pPr>
    </w:p>
    <w:p w:rsidR="00CA4DA4" w:rsidRDefault="00CA4DA4" w:rsidP="00CA4DA4">
      <w:pPr>
        <w:pStyle w:val="NoSpacing"/>
        <w:jc w:val="center"/>
        <w:rPr>
          <w:rFonts w:ascii="Times New Roman" w:hAnsi="Times New Roman" w:cs="Times New Roman"/>
          <w:b/>
          <w:color w:val="663300"/>
          <w:sz w:val="28"/>
        </w:rPr>
      </w:pPr>
      <w:r>
        <w:rPr>
          <w:rFonts w:ascii="Times New Roman" w:hAnsi="Times New Roman" w:cs="Times New Roman"/>
          <w:b/>
          <w:color w:val="663300"/>
          <w:sz w:val="28"/>
        </w:rPr>
        <w:t>S</w:t>
      </w:r>
      <w:r w:rsidRPr="00B73B83">
        <w:rPr>
          <w:rFonts w:ascii="Times New Roman" w:hAnsi="Times New Roman" w:cs="Times New Roman"/>
          <w:b/>
          <w:color w:val="663300"/>
          <w:sz w:val="28"/>
        </w:rPr>
        <w:t>yllabus:</w:t>
      </w:r>
    </w:p>
    <w:p w:rsidR="00CA4DA4" w:rsidRPr="00CA4DA4" w:rsidRDefault="00CA4DA4" w:rsidP="00CA4DA4">
      <w:pPr>
        <w:pStyle w:val="NoSpacing"/>
        <w:jc w:val="center"/>
        <w:rPr>
          <w:rFonts w:ascii="Times New Roman" w:eastAsiaTheme="minorEastAsia" w:hAnsi="Times New Roman" w:cs="Times New Roman"/>
          <w:b/>
          <w:color w:val="663300"/>
          <w:sz w:val="28"/>
        </w:rPr>
      </w:pPr>
      <w:r w:rsidRPr="00CA4DA4">
        <w:rPr>
          <w:rFonts w:ascii="Times New Roman" w:eastAsiaTheme="minorEastAsia" w:hAnsi="Times New Roman" w:cs="Times New Roman"/>
          <w:b/>
          <w:color w:val="663300"/>
          <w:sz w:val="28"/>
        </w:rPr>
        <w:t>Paper 01</w:t>
      </w:r>
    </w:p>
    <w:tbl>
      <w:tblPr>
        <w:tblStyle w:val="TableGrid"/>
        <w:tblW w:w="9907" w:type="dxa"/>
        <w:tblLook w:val="04A0" w:firstRow="1" w:lastRow="0" w:firstColumn="1" w:lastColumn="0" w:noHBand="0" w:noVBand="1"/>
      </w:tblPr>
      <w:tblGrid>
        <w:gridCol w:w="4921"/>
        <w:gridCol w:w="4986"/>
      </w:tblGrid>
      <w:tr w:rsidR="00CA4DA4" w:rsidRPr="00B73B83" w:rsidTr="00CA4DA4">
        <w:trPr>
          <w:trHeight w:val="589"/>
        </w:trPr>
        <w:tc>
          <w:tcPr>
            <w:tcW w:w="9907" w:type="dxa"/>
            <w:gridSpan w:val="2"/>
          </w:tcPr>
          <w:p w:rsidR="00CA4DA4" w:rsidRPr="00B73B83" w:rsidRDefault="00147420" w:rsidP="002119AD">
            <w:pPr>
              <w:jc w:val="center"/>
              <w:rPr>
                <w:rFonts w:ascii="Times New Roman" w:hAnsi="Times New Roman" w:cs="Times New Roman"/>
                <w:b/>
                <w:color w:val="663300"/>
                <w:sz w:val="28"/>
              </w:rPr>
            </w:pPr>
            <w:r w:rsidRPr="00147420">
              <w:rPr>
                <w:rFonts w:ascii="Times New Roman" w:hAnsi="Times New Roman" w:cs="Times New Roman"/>
                <w:b/>
                <w:color w:val="663300"/>
                <w:sz w:val="28"/>
              </w:rPr>
              <w:t>Concept of Logistics and Supply Chain</w:t>
            </w:r>
            <w:r w:rsidR="00CA4DA4" w:rsidRPr="00B73B83">
              <w:rPr>
                <w:rFonts w:ascii="Times New Roman" w:hAnsi="Times New Roman" w:cs="Times New Roman"/>
                <w:b/>
                <w:color w:val="663300"/>
                <w:sz w:val="28"/>
              </w:rPr>
              <w:t>:</w:t>
            </w:r>
          </w:p>
          <w:p w:rsidR="00CA4DA4" w:rsidRPr="00B73B83" w:rsidRDefault="00CA4DA4" w:rsidP="002119AD">
            <w:pPr>
              <w:pStyle w:val="NoSpacing"/>
              <w:jc w:val="center"/>
              <w:rPr>
                <w:rFonts w:ascii="Times New Roman" w:hAnsi="Times New Roman" w:cs="Times New Roman"/>
                <w:lang w:eastAsia="en-IN"/>
              </w:rPr>
            </w:pPr>
          </w:p>
        </w:tc>
      </w:tr>
      <w:tr w:rsidR="00CA4DA4" w:rsidRPr="00B73B83" w:rsidTr="00CA4DA4">
        <w:trPr>
          <w:trHeight w:val="4530"/>
        </w:trPr>
        <w:tc>
          <w:tcPr>
            <w:tcW w:w="4921" w:type="dxa"/>
          </w:tcPr>
          <w:p w:rsidR="00CA4DA4" w:rsidRDefault="00147420" w:rsidP="00CA4DA4">
            <w:pPr>
              <w:pStyle w:val="NoSpacing"/>
              <w:jc w:val="both"/>
            </w:pPr>
            <w:r>
              <w:t>Introduction to Logistics and Supply Chain Management. Integrated Logistics System. Managing Supply and Demand. Supply Chain Strategies and Implementation Supply Chain Planning. Economics of scale in Supply Chain Management. Global Logistics. 3PL and 4 PL definition and scope.</w:t>
            </w:r>
          </w:p>
          <w:p w:rsidR="00147420" w:rsidRPr="00CA4DA4" w:rsidRDefault="00147420" w:rsidP="00CA4DA4">
            <w:pPr>
              <w:pStyle w:val="NoSpacing"/>
              <w:jc w:val="both"/>
              <w:rPr>
                <w:rFonts w:ascii="Times New Roman" w:hAnsi="Times New Roman" w:cs="Times New Roman"/>
                <w:sz w:val="24"/>
              </w:rPr>
            </w:pPr>
            <w:r>
              <w:t>The activities of E-SCM include the following: Supply Chain Replenishment. ... E-Procurement. Supply Chain Monitoring and Control Using RFID. Inventory Management Using Wireless Devices. Collaborative Planning. ... Collaborative Design and Product Development. E-Logistics. Types of supply chain management software and SCM software vendors Product Development. Sales &amp; Operations Planning. Procurement. Production. Logistics. Warehouse Management.</w:t>
            </w:r>
          </w:p>
        </w:tc>
        <w:tc>
          <w:tcPr>
            <w:tcW w:w="4985" w:type="dxa"/>
          </w:tcPr>
          <w:p w:rsidR="00CA4DA4" w:rsidRDefault="00147420" w:rsidP="00CA4DA4">
            <w:pPr>
              <w:pStyle w:val="NoSpacing"/>
              <w:jc w:val="both"/>
            </w:pPr>
            <w:r>
              <w:t>Supply Chain definition. Procurement Management. Contract Management. Distribution Management. Supplier Relationship Management. Customer Relationship Management. Green Logistics.</w:t>
            </w:r>
          </w:p>
          <w:p w:rsidR="00147420" w:rsidRPr="00CA4DA4" w:rsidRDefault="00147420" w:rsidP="00CA4DA4">
            <w:pPr>
              <w:pStyle w:val="NoSpacing"/>
              <w:jc w:val="both"/>
              <w:rPr>
                <w:rFonts w:ascii="Times New Roman" w:hAnsi="Times New Roman" w:cs="Times New Roman"/>
                <w:sz w:val="24"/>
              </w:rPr>
            </w:pPr>
            <w:r>
              <w:t>The Eight Components of Supply Chain Management  Planning. This is one of the most important stages.  Information. The world today is dominated by a continuous flow of information.  Source. Suppliers play a very crucial role in supply chain management systems.  Inventory.  Production.  Location.  Transportation.  Return of goods. The Importance of SCM. Why do we need SCM? Electronic Commerce. Electronic Data Interchange. Barcode Scanning. Data Warehouse Enterprise Resource Planning (ERP) Tools.</w:t>
            </w:r>
          </w:p>
        </w:tc>
      </w:tr>
    </w:tbl>
    <w:p w:rsidR="00CA4DA4" w:rsidRPr="00B73B83" w:rsidRDefault="00CA4DA4" w:rsidP="00CA4DA4">
      <w:pPr>
        <w:jc w:val="center"/>
        <w:rPr>
          <w:rFonts w:ascii="Times New Roman" w:hAnsi="Times New Roman" w:cs="Times New Roman"/>
          <w:b/>
          <w:color w:val="663300"/>
          <w:sz w:val="28"/>
        </w:rPr>
      </w:pPr>
      <w:r>
        <w:rPr>
          <w:rFonts w:ascii="Times New Roman" w:hAnsi="Times New Roman" w:cs="Times New Roman"/>
          <w:b/>
          <w:color w:val="663300"/>
          <w:sz w:val="28"/>
        </w:rPr>
        <w:t>Paper -02</w:t>
      </w:r>
    </w:p>
    <w:tbl>
      <w:tblPr>
        <w:tblStyle w:val="TableGrid"/>
        <w:tblW w:w="9918" w:type="dxa"/>
        <w:tblLook w:val="04A0" w:firstRow="1" w:lastRow="0" w:firstColumn="1" w:lastColumn="0" w:noHBand="0" w:noVBand="1"/>
      </w:tblPr>
      <w:tblGrid>
        <w:gridCol w:w="9918"/>
      </w:tblGrid>
      <w:tr w:rsidR="00CA4DA4" w:rsidRPr="00B73B83" w:rsidTr="002119AD">
        <w:tc>
          <w:tcPr>
            <w:tcW w:w="9918" w:type="dxa"/>
          </w:tcPr>
          <w:p w:rsidR="00CA4DA4" w:rsidRPr="00B73B83" w:rsidRDefault="00147420" w:rsidP="002119AD">
            <w:pPr>
              <w:pStyle w:val="NoSpacing"/>
              <w:jc w:val="center"/>
              <w:rPr>
                <w:rFonts w:ascii="Times New Roman" w:hAnsi="Times New Roman" w:cs="Times New Roman"/>
                <w:b/>
                <w:color w:val="C00000"/>
                <w:sz w:val="24"/>
                <w:lang w:eastAsia="en-IN"/>
              </w:rPr>
            </w:pPr>
            <w:r w:rsidRPr="00147420">
              <w:rPr>
                <w:rFonts w:ascii="Times New Roman" w:hAnsi="Times New Roman" w:cs="Times New Roman"/>
                <w:b/>
                <w:color w:val="663300"/>
                <w:sz w:val="28"/>
                <w:szCs w:val="24"/>
              </w:rPr>
              <w:t>Inventory Management &amp; Stock Control</w:t>
            </w:r>
            <w:r w:rsidR="00CA4DA4" w:rsidRPr="00B73B83">
              <w:rPr>
                <w:rFonts w:ascii="Times New Roman" w:hAnsi="Times New Roman" w:cs="Times New Roman"/>
                <w:b/>
                <w:color w:val="663300"/>
                <w:sz w:val="28"/>
                <w:szCs w:val="24"/>
              </w:rPr>
              <w:t>.</w:t>
            </w:r>
          </w:p>
        </w:tc>
      </w:tr>
      <w:tr w:rsidR="00147420" w:rsidRPr="00B73B83" w:rsidTr="00A74B70">
        <w:tc>
          <w:tcPr>
            <w:tcW w:w="9918" w:type="dxa"/>
            <w:vAlign w:val="bottom"/>
          </w:tcPr>
          <w:p w:rsidR="00147420" w:rsidRPr="00147420" w:rsidRDefault="00147420" w:rsidP="00F66E13">
            <w:pPr>
              <w:spacing w:line="0" w:lineRule="atLeast"/>
              <w:ind w:left="120"/>
              <w:rPr>
                <w:rFonts w:ascii="Times New Roman" w:eastAsia="Times New Roman" w:hAnsi="Times New Roman"/>
                <w:sz w:val="24"/>
              </w:rPr>
            </w:pPr>
            <w:r w:rsidRPr="00147420">
              <w:rPr>
                <w:rFonts w:ascii="Times New Roman" w:eastAsia="Times New Roman" w:hAnsi="Times New Roman"/>
                <w:sz w:val="24"/>
              </w:rPr>
              <w:t>INVENTORY MANAGEMENT.</w:t>
            </w:r>
          </w:p>
          <w:p w:rsidR="00147420" w:rsidRPr="00147420" w:rsidRDefault="00147420" w:rsidP="00F66E13">
            <w:pPr>
              <w:spacing w:line="0" w:lineRule="atLeast"/>
              <w:ind w:left="120"/>
              <w:rPr>
                <w:rFonts w:ascii="Times New Roman" w:eastAsia="Times New Roman" w:hAnsi="Times New Roman"/>
                <w:sz w:val="24"/>
              </w:rPr>
            </w:pPr>
            <w:r w:rsidRPr="00147420">
              <w:rPr>
                <w:rFonts w:ascii="Times New Roman" w:eastAsia="Times New Roman" w:hAnsi="Times New Roman"/>
                <w:sz w:val="24"/>
              </w:rPr>
              <w:t>Definition of Inventory Management &amp; its</w:t>
            </w:r>
          </w:p>
          <w:p w:rsidR="00147420" w:rsidRPr="00147420" w:rsidRDefault="00147420" w:rsidP="00F66E13">
            <w:pPr>
              <w:spacing w:line="0" w:lineRule="atLeast"/>
              <w:ind w:left="120"/>
              <w:rPr>
                <w:rFonts w:ascii="Times New Roman" w:eastAsia="Times New Roman" w:hAnsi="Times New Roman"/>
                <w:sz w:val="24"/>
              </w:rPr>
            </w:pPr>
            <w:r w:rsidRPr="00147420">
              <w:rPr>
                <w:rFonts w:ascii="Times New Roman" w:eastAsia="Times New Roman" w:hAnsi="Times New Roman"/>
                <w:sz w:val="24"/>
              </w:rPr>
              <w:t>Importance.</w:t>
            </w:r>
          </w:p>
          <w:p w:rsidR="00147420" w:rsidRPr="00147420" w:rsidRDefault="00147420" w:rsidP="00F66E13">
            <w:pPr>
              <w:spacing w:line="0" w:lineRule="atLeast"/>
              <w:ind w:left="120"/>
              <w:rPr>
                <w:rFonts w:ascii="Times New Roman" w:eastAsia="Times New Roman" w:hAnsi="Times New Roman"/>
                <w:sz w:val="24"/>
              </w:rPr>
            </w:pPr>
            <w:r w:rsidRPr="00147420">
              <w:rPr>
                <w:rFonts w:ascii="Times New Roman" w:eastAsia="Times New Roman" w:hAnsi="Times New Roman"/>
                <w:sz w:val="24"/>
              </w:rPr>
              <w:t>Inventory Control and Types of Inventory.</w:t>
            </w:r>
          </w:p>
          <w:p w:rsidR="00147420" w:rsidRPr="00147420" w:rsidRDefault="00147420" w:rsidP="00F66E13">
            <w:pPr>
              <w:spacing w:line="0" w:lineRule="atLeast"/>
              <w:ind w:left="120"/>
              <w:rPr>
                <w:rFonts w:ascii="Times New Roman" w:eastAsia="Times New Roman" w:hAnsi="Times New Roman"/>
                <w:sz w:val="24"/>
              </w:rPr>
            </w:pPr>
            <w:r w:rsidRPr="00147420">
              <w:rPr>
                <w:rFonts w:ascii="Times New Roman" w:eastAsia="Times New Roman" w:hAnsi="Times New Roman"/>
                <w:sz w:val="24"/>
              </w:rPr>
              <w:t>Inventory Valuation FIFO, LIFO.</w:t>
            </w:r>
          </w:p>
          <w:p w:rsidR="00147420" w:rsidRPr="00147420" w:rsidRDefault="00147420" w:rsidP="00F66E13">
            <w:pPr>
              <w:spacing w:line="0" w:lineRule="atLeast"/>
              <w:ind w:left="120"/>
              <w:rPr>
                <w:rFonts w:ascii="Times New Roman" w:eastAsia="Times New Roman" w:hAnsi="Times New Roman"/>
                <w:sz w:val="24"/>
              </w:rPr>
            </w:pPr>
            <w:r w:rsidRPr="00147420">
              <w:rPr>
                <w:rFonts w:ascii="Times New Roman" w:eastAsia="Times New Roman" w:hAnsi="Times New Roman"/>
                <w:sz w:val="24"/>
              </w:rPr>
              <w:t>Various ratios in Inventory Management.</w:t>
            </w:r>
          </w:p>
          <w:p w:rsidR="00147420" w:rsidRPr="00147420" w:rsidRDefault="00147420" w:rsidP="00F66E13">
            <w:pPr>
              <w:spacing w:line="0" w:lineRule="atLeast"/>
              <w:ind w:left="120"/>
              <w:rPr>
                <w:rFonts w:ascii="Times New Roman" w:eastAsia="Times New Roman" w:hAnsi="Times New Roman"/>
                <w:sz w:val="24"/>
              </w:rPr>
            </w:pPr>
            <w:r w:rsidRPr="00147420">
              <w:rPr>
                <w:rFonts w:ascii="Times New Roman" w:eastAsia="Times New Roman" w:hAnsi="Times New Roman"/>
                <w:sz w:val="24"/>
              </w:rPr>
              <w:t>Logistics and Combined Transport Document.</w:t>
            </w:r>
          </w:p>
          <w:p w:rsidR="00147420" w:rsidRPr="00147420" w:rsidRDefault="00147420" w:rsidP="00F66E13">
            <w:pPr>
              <w:spacing w:line="0" w:lineRule="atLeast"/>
              <w:ind w:left="120"/>
              <w:rPr>
                <w:rFonts w:ascii="Times New Roman" w:eastAsia="Times New Roman" w:hAnsi="Times New Roman"/>
                <w:sz w:val="24"/>
              </w:rPr>
            </w:pPr>
            <w:r w:rsidRPr="00147420">
              <w:rPr>
                <w:rFonts w:ascii="Times New Roman" w:eastAsia="Times New Roman" w:hAnsi="Times New Roman"/>
                <w:sz w:val="24"/>
              </w:rPr>
              <w:t>Stock Verification, EOQ models.</w:t>
            </w:r>
          </w:p>
          <w:p w:rsidR="00147420" w:rsidRPr="00147420" w:rsidRDefault="00147420" w:rsidP="00F66E13">
            <w:pPr>
              <w:spacing w:line="0" w:lineRule="atLeast"/>
              <w:ind w:left="120"/>
              <w:rPr>
                <w:rFonts w:ascii="Times New Roman" w:eastAsia="Times New Roman" w:hAnsi="Times New Roman"/>
                <w:sz w:val="24"/>
              </w:rPr>
            </w:pPr>
            <w:r w:rsidRPr="00147420">
              <w:rPr>
                <w:rFonts w:ascii="Times New Roman" w:eastAsia="Times New Roman" w:hAnsi="Times New Roman"/>
                <w:sz w:val="24"/>
              </w:rPr>
              <w:t>Selective Inventories - ABC, XYZ, VED,</w:t>
            </w:r>
          </w:p>
          <w:p w:rsidR="00147420" w:rsidRPr="00147420" w:rsidRDefault="00147420" w:rsidP="00F66E13">
            <w:pPr>
              <w:spacing w:line="0" w:lineRule="atLeast"/>
              <w:ind w:left="120"/>
              <w:rPr>
                <w:rFonts w:ascii="Times New Roman" w:eastAsia="Times New Roman" w:hAnsi="Times New Roman"/>
                <w:sz w:val="24"/>
              </w:rPr>
            </w:pPr>
            <w:r w:rsidRPr="00147420">
              <w:rPr>
                <w:rFonts w:ascii="Times New Roman" w:eastAsia="Times New Roman" w:hAnsi="Times New Roman"/>
                <w:sz w:val="24"/>
              </w:rPr>
              <w:t>Manufacturing Systems, MRP, JIT, MRP II.</w:t>
            </w:r>
          </w:p>
          <w:p w:rsidR="00147420" w:rsidRDefault="00147420" w:rsidP="00F66E13">
            <w:pPr>
              <w:spacing w:line="0" w:lineRule="atLeast"/>
              <w:ind w:left="120"/>
              <w:rPr>
                <w:rFonts w:ascii="Times New Roman" w:eastAsia="Times New Roman" w:hAnsi="Times New Roman"/>
                <w:b/>
                <w:sz w:val="24"/>
              </w:rPr>
            </w:pPr>
            <w:r w:rsidRPr="00147420">
              <w:rPr>
                <w:rFonts w:ascii="Times New Roman" w:eastAsia="Times New Roman" w:hAnsi="Times New Roman"/>
                <w:sz w:val="24"/>
              </w:rPr>
              <w:t>Lean Manufacturing.</w:t>
            </w:r>
          </w:p>
        </w:tc>
      </w:tr>
    </w:tbl>
    <w:p w:rsidR="00CA4DA4" w:rsidRDefault="00CA4DA4" w:rsidP="00CA4DA4">
      <w:pPr>
        <w:rPr>
          <w:rFonts w:ascii="Times New Roman" w:hAnsi="Times New Roman" w:cs="Times New Roman"/>
          <w:b/>
          <w:color w:val="663300"/>
          <w:sz w:val="28"/>
        </w:rPr>
      </w:pPr>
    </w:p>
    <w:p w:rsidR="001D79CA" w:rsidRDefault="001D79CA" w:rsidP="00CA4DA4">
      <w:pPr>
        <w:jc w:val="center"/>
        <w:rPr>
          <w:rFonts w:ascii="Times New Roman" w:hAnsi="Times New Roman" w:cs="Times New Roman"/>
          <w:b/>
          <w:color w:val="663300"/>
          <w:sz w:val="28"/>
        </w:rPr>
      </w:pPr>
    </w:p>
    <w:p w:rsidR="00147420" w:rsidRDefault="00147420" w:rsidP="00CA4DA4">
      <w:pPr>
        <w:jc w:val="center"/>
        <w:rPr>
          <w:rFonts w:ascii="Times New Roman" w:hAnsi="Times New Roman" w:cs="Times New Roman"/>
          <w:b/>
          <w:color w:val="663300"/>
          <w:sz w:val="28"/>
        </w:rPr>
      </w:pPr>
    </w:p>
    <w:p w:rsidR="00147420" w:rsidRDefault="00147420" w:rsidP="00CA4DA4">
      <w:pPr>
        <w:jc w:val="center"/>
        <w:rPr>
          <w:rFonts w:ascii="Times New Roman" w:hAnsi="Times New Roman" w:cs="Times New Roman"/>
          <w:b/>
          <w:color w:val="663300"/>
          <w:sz w:val="28"/>
        </w:rPr>
      </w:pPr>
    </w:p>
    <w:p w:rsidR="006761F1" w:rsidRDefault="006761F1" w:rsidP="00CA4DA4">
      <w:pPr>
        <w:jc w:val="center"/>
        <w:rPr>
          <w:rFonts w:ascii="Times New Roman" w:hAnsi="Times New Roman" w:cs="Times New Roman"/>
          <w:b/>
          <w:color w:val="663300"/>
          <w:sz w:val="28"/>
        </w:rPr>
      </w:pPr>
    </w:p>
    <w:p w:rsidR="006761F1" w:rsidRDefault="006761F1" w:rsidP="00CA4DA4">
      <w:pPr>
        <w:jc w:val="center"/>
        <w:rPr>
          <w:rFonts w:ascii="Times New Roman" w:hAnsi="Times New Roman" w:cs="Times New Roman"/>
          <w:b/>
          <w:color w:val="663300"/>
          <w:sz w:val="28"/>
        </w:rPr>
      </w:pPr>
    </w:p>
    <w:p w:rsidR="00CA4DA4" w:rsidRPr="00B73B83" w:rsidRDefault="00CA4DA4" w:rsidP="00CA4DA4">
      <w:pPr>
        <w:jc w:val="center"/>
        <w:rPr>
          <w:rFonts w:ascii="Times New Roman" w:hAnsi="Times New Roman" w:cs="Times New Roman"/>
          <w:b/>
          <w:color w:val="663300"/>
          <w:sz w:val="28"/>
        </w:rPr>
      </w:pPr>
      <w:r>
        <w:rPr>
          <w:rFonts w:ascii="Times New Roman" w:hAnsi="Times New Roman" w:cs="Times New Roman"/>
          <w:b/>
          <w:color w:val="663300"/>
          <w:sz w:val="28"/>
        </w:rPr>
        <w:t>Paper-03</w:t>
      </w:r>
    </w:p>
    <w:tbl>
      <w:tblPr>
        <w:tblStyle w:val="TableGrid"/>
        <w:tblW w:w="0" w:type="auto"/>
        <w:tblLook w:val="04A0" w:firstRow="1" w:lastRow="0" w:firstColumn="1" w:lastColumn="0" w:noHBand="0" w:noVBand="1"/>
      </w:tblPr>
      <w:tblGrid>
        <w:gridCol w:w="9576"/>
      </w:tblGrid>
      <w:tr w:rsidR="00CA4DA4" w:rsidRPr="00B73B83" w:rsidTr="00147420">
        <w:tc>
          <w:tcPr>
            <w:tcW w:w="9576" w:type="dxa"/>
          </w:tcPr>
          <w:p w:rsidR="00CA4DA4" w:rsidRPr="00B73B83" w:rsidRDefault="00147420" w:rsidP="002119AD">
            <w:pPr>
              <w:pStyle w:val="NoSpacing"/>
              <w:jc w:val="center"/>
              <w:rPr>
                <w:rFonts w:ascii="Times New Roman" w:hAnsi="Times New Roman" w:cs="Times New Roman"/>
                <w:color w:val="663300"/>
                <w:sz w:val="24"/>
                <w:lang w:eastAsia="en-IN"/>
              </w:rPr>
            </w:pPr>
            <w:r w:rsidRPr="00147420">
              <w:rPr>
                <w:rFonts w:ascii="Times New Roman" w:hAnsi="Times New Roman" w:cs="Times New Roman"/>
                <w:color w:val="663300"/>
                <w:sz w:val="28"/>
                <w:szCs w:val="24"/>
              </w:rPr>
              <w:t>Warehousing</w:t>
            </w:r>
            <w:r w:rsidR="00CA4DA4" w:rsidRPr="00B73B83">
              <w:rPr>
                <w:rFonts w:ascii="Times New Roman" w:hAnsi="Times New Roman" w:cs="Times New Roman"/>
                <w:color w:val="663300"/>
                <w:sz w:val="28"/>
                <w:szCs w:val="24"/>
              </w:rPr>
              <w:t>.</w:t>
            </w:r>
          </w:p>
        </w:tc>
      </w:tr>
      <w:tr w:rsidR="00147420" w:rsidRPr="00B73B83" w:rsidTr="00147420">
        <w:tc>
          <w:tcPr>
            <w:tcW w:w="9576" w:type="dxa"/>
          </w:tcPr>
          <w:p w:rsidR="00147420" w:rsidRPr="006761F1" w:rsidRDefault="00147420"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WAREHOUSING</w:t>
            </w:r>
          </w:p>
          <w:p w:rsidR="00147420" w:rsidRPr="006761F1" w:rsidRDefault="00147420"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Warehouse Management System.</w:t>
            </w:r>
          </w:p>
          <w:p w:rsidR="00147420" w:rsidRPr="006761F1" w:rsidRDefault="00147420"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Freight Consolidation &amp; Forwarding.</w:t>
            </w:r>
          </w:p>
          <w:p w:rsidR="00147420" w:rsidRPr="006761F1" w:rsidRDefault="00147420"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Storage - Put away, Picking and Cross</w:t>
            </w:r>
          </w:p>
          <w:p w:rsidR="00147420" w:rsidRPr="006761F1" w:rsidRDefault="00147420"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Docking.</w:t>
            </w:r>
          </w:p>
          <w:p w:rsidR="00147420" w:rsidRPr="006761F1" w:rsidRDefault="00147420"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Warehouse location Planning.</w:t>
            </w:r>
          </w:p>
          <w:p w:rsidR="00147420" w:rsidRPr="006761F1" w:rsidRDefault="00147420"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CFS, ICD, Dry Port Operations.</w:t>
            </w:r>
          </w:p>
          <w:p w:rsidR="00147420" w:rsidRPr="006761F1" w:rsidRDefault="00147420"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C &amp; F Operations.</w:t>
            </w:r>
          </w:p>
          <w:p w:rsidR="00147420" w:rsidRPr="006761F1" w:rsidRDefault="00147420"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Yard Management.</w:t>
            </w:r>
          </w:p>
          <w:p w:rsidR="00147420" w:rsidRPr="00147420" w:rsidRDefault="00147420" w:rsidP="00F66E13">
            <w:pPr>
              <w:spacing w:line="0" w:lineRule="atLeast"/>
              <w:ind w:left="120"/>
              <w:rPr>
                <w:rFonts w:ascii="Times New Roman" w:hAnsi="Times New Roman" w:cs="Times New Roman"/>
                <w:color w:val="663300"/>
                <w:sz w:val="28"/>
                <w:szCs w:val="24"/>
              </w:rPr>
            </w:pPr>
            <w:r w:rsidRPr="006761F1">
              <w:rPr>
                <w:rFonts w:ascii="Times New Roman" w:eastAsia="Times New Roman" w:hAnsi="Times New Roman"/>
                <w:sz w:val="24"/>
              </w:rPr>
              <w:t>Insurance (Theft, Burglary, Fire, etc.).</w:t>
            </w:r>
          </w:p>
        </w:tc>
      </w:tr>
    </w:tbl>
    <w:p w:rsidR="00147420" w:rsidRDefault="00147420" w:rsidP="00CA4DA4">
      <w:pPr>
        <w:jc w:val="center"/>
        <w:rPr>
          <w:rFonts w:ascii="Times New Roman" w:hAnsi="Times New Roman" w:cs="Times New Roman"/>
          <w:b/>
          <w:color w:val="663300"/>
          <w:sz w:val="28"/>
        </w:rPr>
      </w:pPr>
    </w:p>
    <w:p w:rsidR="00CA4DA4" w:rsidRPr="00B73B83" w:rsidRDefault="00CA4DA4" w:rsidP="00CA4DA4">
      <w:pPr>
        <w:jc w:val="center"/>
        <w:rPr>
          <w:rFonts w:ascii="Times New Roman" w:hAnsi="Times New Roman" w:cs="Times New Roman"/>
          <w:b/>
          <w:color w:val="663300"/>
          <w:sz w:val="28"/>
        </w:rPr>
      </w:pPr>
      <w:r w:rsidRPr="00B73B83">
        <w:rPr>
          <w:rFonts w:ascii="Times New Roman" w:hAnsi="Times New Roman" w:cs="Times New Roman"/>
          <w:b/>
          <w:color w:val="663300"/>
          <w:sz w:val="28"/>
        </w:rPr>
        <w:t>Paper -04</w:t>
      </w:r>
    </w:p>
    <w:tbl>
      <w:tblPr>
        <w:tblStyle w:val="TableGrid"/>
        <w:tblW w:w="0" w:type="auto"/>
        <w:tblLook w:val="04A0" w:firstRow="1" w:lastRow="0" w:firstColumn="1" w:lastColumn="0" w:noHBand="0" w:noVBand="1"/>
      </w:tblPr>
      <w:tblGrid>
        <w:gridCol w:w="9576"/>
      </w:tblGrid>
      <w:tr w:rsidR="00CA4DA4" w:rsidRPr="00B73B83" w:rsidTr="00147420">
        <w:tc>
          <w:tcPr>
            <w:tcW w:w="9576" w:type="dxa"/>
          </w:tcPr>
          <w:p w:rsidR="00CA4DA4" w:rsidRPr="00B73B83" w:rsidRDefault="00147420" w:rsidP="002119AD">
            <w:pPr>
              <w:pStyle w:val="NoSpacing"/>
              <w:jc w:val="center"/>
              <w:rPr>
                <w:rFonts w:ascii="Times New Roman" w:eastAsia="Times New Roman" w:hAnsi="Times New Roman" w:cs="Times New Roman"/>
                <w:bCs/>
                <w:color w:val="663300"/>
                <w:sz w:val="17"/>
                <w:szCs w:val="17"/>
                <w:lang w:eastAsia="en-IN"/>
              </w:rPr>
            </w:pPr>
            <w:r w:rsidRPr="00147420">
              <w:rPr>
                <w:rFonts w:ascii="Times New Roman" w:hAnsi="Times New Roman" w:cs="Times New Roman"/>
                <w:color w:val="663300"/>
                <w:sz w:val="28"/>
                <w:szCs w:val="24"/>
              </w:rPr>
              <w:t>Transportation Infrastructure</w:t>
            </w:r>
          </w:p>
        </w:tc>
      </w:tr>
      <w:tr w:rsidR="006761F1" w:rsidRPr="00B73B83" w:rsidTr="00147420">
        <w:tc>
          <w:tcPr>
            <w:tcW w:w="9576" w:type="dxa"/>
          </w:tcPr>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Transportation.</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Roads and National Highway Network Levies.</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Sea Port and Port Operations. Privatization of Ports.</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Shipping Documents. TL, LTL, FCL LCL.</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Airport and cargo operations. Freight Calculations.</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Rail Operations - CONCOR CFS. Fleet</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Management.</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Transport Management Solutions – IT. Route</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Planning.</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Route Optimization. Transit Insurance.</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Packaging in Logistics.</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Primary and Secondary Packaging.</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Packaging and notations. Palletization.</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Containerization. Packaging Regulations.</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Materials Handling and their systems.</w:t>
            </w:r>
          </w:p>
          <w:p w:rsidR="006761F1" w:rsidRPr="00147420" w:rsidRDefault="006761F1" w:rsidP="00F66E13">
            <w:pPr>
              <w:spacing w:line="0" w:lineRule="atLeast"/>
              <w:ind w:left="120"/>
              <w:rPr>
                <w:rFonts w:ascii="Times New Roman" w:hAnsi="Times New Roman" w:cs="Times New Roman"/>
                <w:color w:val="663300"/>
                <w:sz w:val="28"/>
                <w:szCs w:val="24"/>
              </w:rPr>
            </w:pPr>
            <w:r w:rsidRPr="006761F1">
              <w:rPr>
                <w:rFonts w:ascii="Times New Roman" w:eastAsia="Times New Roman" w:hAnsi="Times New Roman"/>
                <w:sz w:val="24"/>
              </w:rPr>
              <w:t>Material Handling equipment’s. AGVS.</w:t>
            </w:r>
          </w:p>
        </w:tc>
      </w:tr>
    </w:tbl>
    <w:p w:rsidR="00CA4DA4" w:rsidRDefault="00CA4DA4" w:rsidP="00CA4DA4">
      <w:pPr>
        <w:rPr>
          <w:rFonts w:ascii="Times New Roman" w:hAnsi="Times New Roman" w:cs="Times New Roman"/>
          <w:b/>
          <w:color w:val="663300"/>
          <w:sz w:val="28"/>
        </w:rPr>
      </w:pPr>
    </w:p>
    <w:p w:rsidR="006761F1" w:rsidRDefault="006761F1" w:rsidP="00CA4DA4">
      <w:pPr>
        <w:rPr>
          <w:rFonts w:ascii="Times New Roman" w:hAnsi="Times New Roman" w:cs="Times New Roman"/>
          <w:b/>
          <w:color w:val="663300"/>
          <w:sz w:val="28"/>
        </w:rPr>
      </w:pPr>
    </w:p>
    <w:p w:rsidR="006761F1" w:rsidRDefault="006761F1" w:rsidP="00CA4DA4">
      <w:pPr>
        <w:rPr>
          <w:rFonts w:ascii="Times New Roman" w:hAnsi="Times New Roman" w:cs="Times New Roman"/>
          <w:b/>
          <w:color w:val="663300"/>
          <w:sz w:val="28"/>
        </w:rPr>
      </w:pPr>
    </w:p>
    <w:p w:rsidR="006761F1" w:rsidRDefault="006761F1" w:rsidP="00CA4DA4">
      <w:pPr>
        <w:rPr>
          <w:rFonts w:ascii="Times New Roman" w:hAnsi="Times New Roman" w:cs="Times New Roman"/>
          <w:b/>
          <w:color w:val="663300"/>
          <w:sz w:val="28"/>
        </w:rPr>
      </w:pPr>
    </w:p>
    <w:p w:rsidR="006761F1" w:rsidRDefault="006761F1" w:rsidP="00CA4DA4">
      <w:pPr>
        <w:rPr>
          <w:rFonts w:ascii="Times New Roman" w:hAnsi="Times New Roman" w:cs="Times New Roman"/>
          <w:b/>
          <w:color w:val="663300"/>
          <w:sz w:val="28"/>
        </w:rPr>
      </w:pPr>
    </w:p>
    <w:p w:rsidR="006761F1" w:rsidRDefault="006761F1" w:rsidP="00CA4DA4">
      <w:pPr>
        <w:rPr>
          <w:rFonts w:ascii="Times New Roman" w:hAnsi="Times New Roman" w:cs="Times New Roman"/>
          <w:b/>
          <w:color w:val="663300"/>
          <w:sz w:val="28"/>
        </w:rPr>
      </w:pPr>
    </w:p>
    <w:p w:rsidR="00CA4DA4" w:rsidRPr="00B73B83" w:rsidRDefault="00CA4DA4" w:rsidP="00CA4DA4">
      <w:pPr>
        <w:jc w:val="center"/>
        <w:rPr>
          <w:rFonts w:ascii="Times New Roman" w:hAnsi="Times New Roman" w:cs="Times New Roman"/>
          <w:b/>
          <w:color w:val="663300"/>
          <w:sz w:val="28"/>
        </w:rPr>
      </w:pPr>
      <w:r>
        <w:rPr>
          <w:rFonts w:ascii="Times New Roman" w:hAnsi="Times New Roman" w:cs="Times New Roman"/>
          <w:b/>
          <w:color w:val="663300"/>
          <w:sz w:val="28"/>
        </w:rPr>
        <w:t>Paper -05</w:t>
      </w:r>
    </w:p>
    <w:tbl>
      <w:tblPr>
        <w:tblStyle w:val="TableGrid"/>
        <w:tblW w:w="0" w:type="auto"/>
        <w:tblLook w:val="04A0" w:firstRow="1" w:lastRow="0" w:firstColumn="1" w:lastColumn="0" w:noHBand="0" w:noVBand="1"/>
      </w:tblPr>
      <w:tblGrid>
        <w:gridCol w:w="9576"/>
      </w:tblGrid>
      <w:tr w:rsidR="00CA4DA4" w:rsidRPr="00B73B83" w:rsidTr="006761F1">
        <w:tc>
          <w:tcPr>
            <w:tcW w:w="9576" w:type="dxa"/>
          </w:tcPr>
          <w:p w:rsidR="00CA4DA4" w:rsidRPr="00B73B83" w:rsidRDefault="006761F1" w:rsidP="002119AD">
            <w:pPr>
              <w:pStyle w:val="NoSpacing"/>
              <w:jc w:val="center"/>
              <w:rPr>
                <w:rFonts w:ascii="Times New Roman" w:eastAsia="Times New Roman" w:hAnsi="Times New Roman" w:cs="Times New Roman"/>
                <w:bCs/>
                <w:color w:val="663300"/>
                <w:szCs w:val="17"/>
                <w:lang w:eastAsia="en-IN"/>
              </w:rPr>
            </w:pPr>
            <w:r w:rsidRPr="006761F1">
              <w:rPr>
                <w:rFonts w:ascii="Times New Roman" w:eastAsia="Times New Roman" w:hAnsi="Times New Roman" w:cs="Times New Roman"/>
                <w:b/>
                <w:bCs/>
                <w:color w:val="663300"/>
                <w:szCs w:val="17"/>
                <w:lang w:eastAsia="en-IN"/>
              </w:rPr>
              <w:t>Statues and Obligations</w:t>
            </w:r>
          </w:p>
          <w:p w:rsidR="00CA4DA4" w:rsidRPr="00B73B83" w:rsidRDefault="00CA4DA4" w:rsidP="002119AD">
            <w:pPr>
              <w:pStyle w:val="NoSpacing"/>
              <w:jc w:val="center"/>
              <w:rPr>
                <w:rFonts w:ascii="Times New Roman" w:eastAsia="Times New Roman" w:hAnsi="Times New Roman" w:cs="Times New Roman"/>
                <w:bCs/>
                <w:color w:val="663300"/>
                <w:sz w:val="17"/>
                <w:szCs w:val="17"/>
                <w:lang w:eastAsia="en-IN"/>
              </w:rPr>
            </w:pPr>
          </w:p>
        </w:tc>
      </w:tr>
      <w:tr w:rsidR="006761F1" w:rsidRPr="00B73B83" w:rsidTr="006761F1">
        <w:tc>
          <w:tcPr>
            <w:tcW w:w="9576" w:type="dxa"/>
          </w:tcPr>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Marine insurance Act 1963.</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Export Quality control inspection</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Act.1963.</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Foreign trade Development and</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Regulation Act.1992 (93).</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Central Excise Act.1944.</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SEZ Act.2005. Multi Modal transport</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act1993.</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Major Port Act 1963.</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Indian customs Act 1962.</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Customs Tariff act 1975.</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FEMA1999 and Exchange Control</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Regulation. Exchange Rate Mechanism.</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Negotiable Instrument Act.</w:t>
            </w:r>
          </w:p>
          <w:p w:rsidR="006761F1" w:rsidRPr="006761F1" w:rsidRDefault="006761F1" w:rsidP="00F66E13">
            <w:pPr>
              <w:spacing w:line="0" w:lineRule="atLeast"/>
              <w:ind w:left="120"/>
              <w:rPr>
                <w:rFonts w:ascii="Times New Roman" w:eastAsia="Times New Roman" w:hAnsi="Times New Roman"/>
                <w:sz w:val="24"/>
              </w:rPr>
            </w:pPr>
            <w:r w:rsidRPr="006761F1">
              <w:rPr>
                <w:rFonts w:ascii="Times New Roman" w:eastAsia="Times New Roman" w:hAnsi="Times New Roman"/>
                <w:sz w:val="24"/>
              </w:rPr>
              <w:t>Sale of Goods Act. Transfer of Property</w:t>
            </w:r>
          </w:p>
          <w:p w:rsidR="006761F1" w:rsidRPr="006761F1" w:rsidRDefault="006761F1" w:rsidP="00F66E13">
            <w:pPr>
              <w:spacing w:line="0" w:lineRule="atLeast"/>
              <w:ind w:left="120"/>
              <w:rPr>
                <w:rFonts w:ascii="Times New Roman" w:eastAsia="Times New Roman" w:hAnsi="Times New Roman" w:cs="Times New Roman"/>
                <w:b/>
                <w:bCs/>
                <w:color w:val="663300"/>
                <w:szCs w:val="17"/>
                <w:lang w:eastAsia="en-IN"/>
              </w:rPr>
            </w:pPr>
            <w:r w:rsidRPr="006761F1">
              <w:rPr>
                <w:rFonts w:ascii="Times New Roman" w:eastAsia="Times New Roman" w:hAnsi="Times New Roman"/>
                <w:sz w:val="24"/>
              </w:rPr>
              <w:t>Act.</w:t>
            </w:r>
          </w:p>
        </w:tc>
      </w:tr>
    </w:tbl>
    <w:p w:rsidR="00CA4DA4" w:rsidRDefault="00CA4DA4" w:rsidP="00CA4DA4">
      <w:pPr>
        <w:jc w:val="both"/>
        <w:rPr>
          <w:rFonts w:ascii="Times New Roman" w:hAnsi="Times New Roman" w:cs="Times New Roman"/>
          <w:color w:val="000099"/>
          <w:sz w:val="24"/>
        </w:rPr>
      </w:pPr>
    </w:p>
    <w:p w:rsidR="00CA4DA4" w:rsidRDefault="00CA4DA4" w:rsidP="00CA4DA4">
      <w:pPr>
        <w:ind w:left="-142"/>
        <w:jc w:val="both"/>
        <w:rPr>
          <w:rFonts w:ascii="Verdana" w:hAnsi="Verdana" w:cs="Times New Roman"/>
          <w:color w:val="002060"/>
          <w:sz w:val="24"/>
        </w:rPr>
      </w:pPr>
      <w:r w:rsidRPr="006E5FD2">
        <w:rPr>
          <w:rFonts w:ascii="Verdana" w:hAnsi="Verdana" w:cs="Times New Roman"/>
          <w:color w:val="002060"/>
          <w:sz w:val="24"/>
        </w:rPr>
        <w:t>After completing the course, Course Completion Certificate issued by “National Institute of Foreign Trade” and those who wish to appear for Final Exam, Exams are conducted by IMC Chamber of Commerce and Industry, he/she can appear for exams after paying Examination Fee to IMC. After</w:t>
      </w:r>
      <w:r w:rsidR="00484FCD">
        <w:rPr>
          <w:rFonts w:ascii="Verdana" w:hAnsi="Verdana" w:cs="Times New Roman"/>
          <w:color w:val="002060"/>
          <w:sz w:val="24"/>
        </w:rPr>
        <w:t xml:space="preserve"> </w:t>
      </w:r>
      <w:r w:rsidRPr="006E5FD2">
        <w:rPr>
          <w:rFonts w:ascii="Verdana" w:hAnsi="Verdana" w:cs="Times New Roman"/>
          <w:color w:val="002060"/>
          <w:sz w:val="24"/>
        </w:rPr>
        <w:t>passing Certificate and Mark</w:t>
      </w:r>
      <w:r w:rsidR="00484FCD">
        <w:rPr>
          <w:rFonts w:ascii="Verdana" w:hAnsi="Verdana" w:cs="Times New Roman"/>
          <w:color w:val="002060"/>
          <w:sz w:val="24"/>
        </w:rPr>
        <w:t>s</w:t>
      </w:r>
      <w:r w:rsidRPr="006E5FD2">
        <w:rPr>
          <w:rFonts w:ascii="Verdana" w:hAnsi="Verdana" w:cs="Times New Roman"/>
          <w:color w:val="002060"/>
          <w:sz w:val="24"/>
        </w:rPr>
        <w:t xml:space="preserve"> – Sheet issued by IMC Chamber of Commerce &amp; Industry.</w:t>
      </w:r>
    </w:p>
    <w:p w:rsidR="00F66E13" w:rsidRPr="00F66E13" w:rsidRDefault="00F66E13" w:rsidP="00F66E13">
      <w:pPr>
        <w:pStyle w:val="NoSpacing"/>
        <w:ind w:left="-709" w:right="-705"/>
        <w:jc w:val="center"/>
        <w:rPr>
          <w:rFonts w:ascii="Times New Roman" w:hAnsi="Times New Roman" w:cs="Times New Roman"/>
          <w:b/>
          <w:sz w:val="32"/>
        </w:rPr>
      </w:pPr>
      <w:r w:rsidRPr="00F66E13">
        <w:rPr>
          <w:rFonts w:ascii="Times New Roman" w:hAnsi="Times New Roman" w:cs="Times New Roman"/>
          <w:b/>
          <w:sz w:val="32"/>
        </w:rPr>
        <w:t>For admission, Syllabus and other details please logon www.niftindia.in or Contact Mr.Vinay Pandey: +91-74 00 11 22 77 / 84 33 66 33 44</w:t>
      </w:r>
    </w:p>
    <w:p w:rsidR="00F66E13" w:rsidRPr="00F66E13" w:rsidRDefault="00F66E13" w:rsidP="00F66E13">
      <w:pPr>
        <w:pStyle w:val="NoSpacing"/>
        <w:ind w:left="-709" w:right="-705"/>
        <w:jc w:val="center"/>
        <w:rPr>
          <w:rFonts w:ascii="Times New Roman" w:hAnsi="Times New Roman" w:cs="Times New Roman"/>
          <w:b/>
          <w:sz w:val="32"/>
        </w:rPr>
      </w:pPr>
      <w:r w:rsidRPr="00F66E13">
        <w:rPr>
          <w:rFonts w:ascii="Times New Roman" w:hAnsi="Times New Roman" w:cs="Times New Roman"/>
          <w:b/>
          <w:sz w:val="32"/>
        </w:rPr>
        <w:t>Email: niftcourses@gmail.com</w:t>
      </w:r>
    </w:p>
    <w:p w:rsidR="00DF6613" w:rsidRDefault="00DF6613" w:rsidP="00CA4DA4">
      <w:pPr>
        <w:ind w:left="-142"/>
        <w:jc w:val="both"/>
        <w:rPr>
          <w:rFonts w:ascii="Verdana" w:hAnsi="Verdana" w:cs="Times New Roman"/>
          <w:color w:val="002060"/>
          <w:sz w:val="24"/>
        </w:rPr>
      </w:pPr>
      <w:bookmarkStart w:id="0" w:name="_GoBack"/>
      <w:bookmarkEnd w:id="0"/>
    </w:p>
    <w:p w:rsidR="00DF6613" w:rsidRPr="00DF6613" w:rsidRDefault="00DF6613" w:rsidP="00DF6613">
      <w:pPr>
        <w:ind w:left="-142"/>
        <w:jc w:val="center"/>
        <w:rPr>
          <w:rFonts w:ascii="Verdana" w:hAnsi="Verdana" w:cs="Times New Roman"/>
          <w:color w:val="002060"/>
          <w:sz w:val="48"/>
        </w:rPr>
      </w:pPr>
      <w:r w:rsidRPr="00DF6613">
        <w:rPr>
          <w:rFonts w:ascii="Verdana" w:hAnsi="Verdana" w:cs="Times New Roman"/>
          <w:color w:val="002060"/>
          <w:sz w:val="48"/>
        </w:rPr>
        <w:t>*****</w:t>
      </w:r>
    </w:p>
    <w:p w:rsidR="00E503AD" w:rsidRPr="001D09DB" w:rsidRDefault="00E503AD" w:rsidP="00CA4DA4">
      <w:pPr>
        <w:shd w:val="clear" w:color="auto" w:fill="FFFFFF"/>
        <w:rPr>
          <w:rFonts w:asciiTheme="majorHAnsi" w:eastAsia="Times New Roman" w:hAnsiTheme="majorHAnsi" w:cs="Arial"/>
          <w:color w:val="C00000"/>
          <w:sz w:val="28"/>
          <w:szCs w:val="32"/>
        </w:rPr>
      </w:pPr>
    </w:p>
    <w:sectPr w:rsidR="00E503AD" w:rsidRPr="001D09DB" w:rsidSect="00CA4DA4">
      <w:headerReference w:type="default" r:id="rId9"/>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6F2" w:rsidRDefault="00A066F2" w:rsidP="004A696B">
      <w:pPr>
        <w:spacing w:after="0" w:line="240" w:lineRule="auto"/>
      </w:pPr>
      <w:r>
        <w:separator/>
      </w:r>
    </w:p>
  </w:endnote>
  <w:endnote w:type="continuationSeparator" w:id="0">
    <w:p w:rsidR="00A066F2" w:rsidRDefault="00A066F2" w:rsidP="004A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6F2" w:rsidRDefault="00A066F2" w:rsidP="004A696B">
      <w:pPr>
        <w:spacing w:after="0" w:line="240" w:lineRule="auto"/>
      </w:pPr>
      <w:r>
        <w:separator/>
      </w:r>
    </w:p>
  </w:footnote>
  <w:footnote w:type="continuationSeparator" w:id="0">
    <w:p w:rsidR="00A066F2" w:rsidRDefault="00A066F2" w:rsidP="004A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bCs/>
        <w:sz w:val="28"/>
        <w:szCs w:val="24"/>
      </w:rPr>
      <w:id w:val="11291988"/>
      <w:docPartObj>
        <w:docPartGallery w:val="Watermarks"/>
        <w:docPartUnique/>
      </w:docPartObj>
    </w:sdtPr>
    <w:sdtEndPr/>
    <w:sdtContent>
      <w:p w:rsidR="004A696B" w:rsidRDefault="00152C26" w:rsidP="004A696B">
        <w:pPr>
          <w:pStyle w:val="Header"/>
          <w:ind w:left="-993"/>
        </w:pPr>
        <w:r>
          <w:rPr>
            <w:noProof/>
            <w:lang w:val="en-IN" w:eastAsia="en-IN"/>
          </w:rPr>
          <w:drawing>
            <wp:anchor distT="0" distB="0" distL="114300" distR="114300" simplePos="0" relativeHeight="251657728" behindDoc="1" locked="0" layoutInCell="1" allowOverlap="1">
              <wp:simplePos x="0" y="0"/>
              <wp:positionH relativeFrom="column">
                <wp:posOffset>-704850</wp:posOffset>
              </wp:positionH>
              <wp:positionV relativeFrom="paragraph">
                <wp:posOffset>-259080</wp:posOffset>
              </wp:positionV>
              <wp:extent cx="7467600" cy="9725025"/>
              <wp:effectExtent l="0" t="0" r="0" b="0"/>
              <wp:wrapNone/>
              <wp:docPr id="2" name="Picture 1" descr="6irBodX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irBodX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9725025"/>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09"/>
    <w:multiLevelType w:val="hybridMultilevel"/>
    <w:tmpl w:val="F0766B60"/>
    <w:lvl w:ilvl="0" w:tplc="BB043CF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82B2C"/>
    <w:multiLevelType w:val="hybridMultilevel"/>
    <w:tmpl w:val="91084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9344E"/>
    <w:multiLevelType w:val="hybridMultilevel"/>
    <w:tmpl w:val="51F0CD48"/>
    <w:lvl w:ilvl="0" w:tplc="FDBA59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D5303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44669E0"/>
    <w:multiLevelType w:val="multilevel"/>
    <w:tmpl w:val="0AD05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502"/>
        </w:tabs>
        <w:ind w:left="502" w:hanging="360"/>
      </w:pPr>
      <w:rPr>
        <w:rFonts w:ascii="Wingdings" w:hAnsi="Wingdings" w:hint="default"/>
      </w:rPr>
    </w:lvl>
    <w:lvl w:ilvl="3">
      <w:start w:val="1"/>
      <w:numFmt w:val="lowerLetter"/>
      <w:lvlText w:val="%4."/>
      <w:lvlJc w:val="left"/>
      <w:pPr>
        <w:ind w:left="2880" w:hanging="360"/>
      </w:pPr>
      <w:rPr>
        <w:rFonts w:hint="default"/>
      </w:rPr>
    </w:lvl>
    <w:lvl w:ilvl="4">
      <w:start w:val="3"/>
      <w:numFmt w:val="decimalZero"/>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E1D35"/>
    <w:multiLevelType w:val="hybridMultilevel"/>
    <w:tmpl w:val="7F7051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271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6B"/>
    <w:rsid w:val="001349AE"/>
    <w:rsid w:val="00147420"/>
    <w:rsid w:val="00152C26"/>
    <w:rsid w:val="001D09DB"/>
    <w:rsid w:val="001D764C"/>
    <w:rsid w:val="001D79CA"/>
    <w:rsid w:val="00207BE5"/>
    <w:rsid w:val="0026767D"/>
    <w:rsid w:val="002717F4"/>
    <w:rsid w:val="0035162C"/>
    <w:rsid w:val="0035163B"/>
    <w:rsid w:val="00391281"/>
    <w:rsid w:val="00422153"/>
    <w:rsid w:val="00476DDD"/>
    <w:rsid w:val="00484FCD"/>
    <w:rsid w:val="004A696B"/>
    <w:rsid w:val="004D6EDF"/>
    <w:rsid w:val="00507C33"/>
    <w:rsid w:val="006164AD"/>
    <w:rsid w:val="00666A68"/>
    <w:rsid w:val="006761F1"/>
    <w:rsid w:val="006936A7"/>
    <w:rsid w:val="00693E1B"/>
    <w:rsid w:val="006E5FD2"/>
    <w:rsid w:val="007033B8"/>
    <w:rsid w:val="00731CF4"/>
    <w:rsid w:val="00745E04"/>
    <w:rsid w:val="00780347"/>
    <w:rsid w:val="00801F96"/>
    <w:rsid w:val="008166D6"/>
    <w:rsid w:val="00827F84"/>
    <w:rsid w:val="00856045"/>
    <w:rsid w:val="008901FF"/>
    <w:rsid w:val="008F1780"/>
    <w:rsid w:val="008F687D"/>
    <w:rsid w:val="00921CB4"/>
    <w:rsid w:val="00982DAB"/>
    <w:rsid w:val="009E441D"/>
    <w:rsid w:val="009F6842"/>
    <w:rsid w:val="00A066F2"/>
    <w:rsid w:val="00A52523"/>
    <w:rsid w:val="00AE11C8"/>
    <w:rsid w:val="00AE2256"/>
    <w:rsid w:val="00AF3062"/>
    <w:rsid w:val="00B041D5"/>
    <w:rsid w:val="00B67D80"/>
    <w:rsid w:val="00C02961"/>
    <w:rsid w:val="00C05343"/>
    <w:rsid w:val="00C86B14"/>
    <w:rsid w:val="00CA4DA4"/>
    <w:rsid w:val="00D2193B"/>
    <w:rsid w:val="00D376F1"/>
    <w:rsid w:val="00D743BF"/>
    <w:rsid w:val="00DB747B"/>
    <w:rsid w:val="00DF6613"/>
    <w:rsid w:val="00E503AD"/>
    <w:rsid w:val="00EA3E57"/>
    <w:rsid w:val="00EE74BF"/>
    <w:rsid w:val="00EF6507"/>
    <w:rsid w:val="00F05992"/>
    <w:rsid w:val="00F364AB"/>
    <w:rsid w:val="00F66E13"/>
    <w:rsid w:val="00FC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82C9A"/>
  <w15:docId w15:val="{0DE0D9DB-1DE5-4B1E-92EB-79C38652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343"/>
  </w:style>
  <w:style w:type="paragraph" w:styleId="Heading3">
    <w:name w:val="heading 3"/>
    <w:basedOn w:val="Normal"/>
    <w:next w:val="Normal"/>
    <w:link w:val="Heading3Char"/>
    <w:uiPriority w:val="9"/>
    <w:semiHidden/>
    <w:unhideWhenUsed/>
    <w:qFormat/>
    <w:rsid w:val="004A69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69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696B"/>
  </w:style>
  <w:style w:type="paragraph" w:styleId="Footer">
    <w:name w:val="footer"/>
    <w:basedOn w:val="Normal"/>
    <w:link w:val="FooterChar"/>
    <w:uiPriority w:val="99"/>
    <w:semiHidden/>
    <w:unhideWhenUsed/>
    <w:rsid w:val="004A69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696B"/>
  </w:style>
  <w:style w:type="paragraph" w:styleId="BalloonText">
    <w:name w:val="Balloon Text"/>
    <w:basedOn w:val="Normal"/>
    <w:link w:val="BalloonTextChar"/>
    <w:uiPriority w:val="99"/>
    <w:semiHidden/>
    <w:unhideWhenUsed/>
    <w:rsid w:val="004A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96B"/>
    <w:rPr>
      <w:rFonts w:ascii="Tahoma" w:hAnsi="Tahoma" w:cs="Tahoma"/>
      <w:sz w:val="16"/>
      <w:szCs w:val="16"/>
    </w:rPr>
  </w:style>
  <w:style w:type="character" w:customStyle="1" w:styleId="Heading3Char">
    <w:name w:val="Heading 3 Char"/>
    <w:basedOn w:val="DefaultParagraphFont"/>
    <w:link w:val="Heading3"/>
    <w:uiPriority w:val="9"/>
    <w:semiHidden/>
    <w:rsid w:val="004A696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A69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A696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696B"/>
    <w:pPr>
      <w:spacing w:after="0" w:line="240" w:lineRule="auto"/>
    </w:pPr>
    <w:rPr>
      <w:rFonts w:eastAsiaTheme="minorHAnsi"/>
    </w:rPr>
  </w:style>
  <w:style w:type="character" w:styleId="Hyperlink">
    <w:name w:val="Hyperlink"/>
    <w:basedOn w:val="DefaultParagraphFont"/>
    <w:uiPriority w:val="99"/>
    <w:unhideWhenUsed/>
    <w:rsid w:val="004A696B"/>
    <w:rPr>
      <w:color w:val="0000FF"/>
      <w:u w:val="single"/>
    </w:rPr>
  </w:style>
  <w:style w:type="paragraph" w:styleId="Title">
    <w:name w:val="Title"/>
    <w:basedOn w:val="Normal"/>
    <w:next w:val="Normal"/>
    <w:link w:val="TitleChar"/>
    <w:uiPriority w:val="10"/>
    <w:qFormat/>
    <w:rsid w:val="004A69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696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A4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89D0-745A-4E21-8643-FB145FCE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NIFT</cp:lastModifiedBy>
  <cp:revision>2</cp:revision>
  <dcterms:created xsi:type="dcterms:W3CDTF">2020-09-13T07:24:00Z</dcterms:created>
  <dcterms:modified xsi:type="dcterms:W3CDTF">2020-09-13T07:24:00Z</dcterms:modified>
</cp:coreProperties>
</file>